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AA13B0">
      <w:pPr>
        <w:spacing w:line="560" w:lineRule="exact"/>
        <w:rPr>
          <w:rFonts w:hint="eastAsia" w:ascii="黑体" w:hAnsi="黑体" w:eastAsia="黑体"/>
          <w:color w:val="000000"/>
          <w:sz w:val="32"/>
          <w:szCs w:val="32"/>
        </w:rPr>
      </w:pPr>
      <w:r>
        <w:rPr>
          <w:rFonts w:hint="eastAsia" w:ascii="黑体" w:hAnsi="黑体" w:eastAsia="黑体"/>
          <w:color w:val="000000"/>
          <w:sz w:val="32"/>
          <w:szCs w:val="32"/>
        </w:rPr>
        <w:t>附件2</w:t>
      </w:r>
    </w:p>
    <w:p w14:paraId="3881C527">
      <w:pPr>
        <w:spacing w:line="560" w:lineRule="exact"/>
        <w:rPr>
          <w:rFonts w:hint="eastAsia" w:ascii="仿宋_GB2312" w:hAnsi="Times New Roman" w:eastAsia="仿宋_GB2312"/>
          <w:color w:val="000000"/>
          <w:sz w:val="32"/>
          <w:szCs w:val="32"/>
        </w:rPr>
      </w:pPr>
    </w:p>
    <w:p w14:paraId="656804C9">
      <w:pPr>
        <w:spacing w:line="560" w:lineRule="exact"/>
        <w:jc w:val="center"/>
        <w:rPr>
          <w:rFonts w:ascii="方正小标宋简体" w:eastAsia="方正小标宋简体"/>
          <w:sz w:val="44"/>
          <w:szCs w:val="44"/>
        </w:rPr>
      </w:pPr>
      <w:r>
        <w:rPr>
          <w:rFonts w:hint="eastAsia" w:ascii="方正小标宋简体" w:eastAsia="方正小标宋简体"/>
          <w:bCs/>
          <w:sz w:val="44"/>
          <w:szCs w:val="44"/>
        </w:rPr>
        <w:t>商标行政复议网上申请功能使用说明</w:t>
      </w:r>
    </w:p>
    <w:p w14:paraId="6E167C80">
      <w:pPr>
        <w:spacing w:line="560" w:lineRule="exact"/>
        <w:jc w:val="center"/>
        <w:rPr>
          <w:sz w:val="44"/>
          <w:szCs w:val="44"/>
        </w:rPr>
      </w:pPr>
    </w:p>
    <w:p w14:paraId="78E5D1B8">
      <w:pPr>
        <w:spacing w:line="560" w:lineRule="exact"/>
        <w:ind w:left="640" w:leftChars="305" w:firstLine="160" w:firstLineChars="50"/>
        <w:rPr>
          <w:rFonts w:ascii="黑体" w:hAnsi="黑体" w:eastAsia="黑体"/>
          <w:bCs/>
          <w:sz w:val="32"/>
          <w:szCs w:val="32"/>
        </w:rPr>
      </w:pPr>
      <w:r>
        <w:rPr>
          <w:rFonts w:hint="eastAsia" w:ascii="黑体" w:hAnsi="黑体" w:eastAsia="黑体"/>
          <w:bCs/>
          <w:sz w:val="32"/>
          <w:szCs w:val="32"/>
        </w:rPr>
        <w:t>一、提交商标行政复议申请</w:t>
      </w:r>
    </w:p>
    <w:p w14:paraId="429416AD">
      <w:pPr>
        <w:spacing w:line="560" w:lineRule="exact"/>
        <w:ind w:firstLine="640" w:firstLineChars="200"/>
        <w:rPr>
          <w:rFonts w:hint="eastAsia" w:ascii="Times New Roman" w:hAnsi="Times New Roman" w:eastAsia="仿宋_GB2312"/>
          <w:color w:val="000000"/>
          <w:sz w:val="32"/>
          <w:szCs w:val="32"/>
        </w:rPr>
      </w:pPr>
      <w:r>
        <w:rPr>
          <w:rFonts w:hint="eastAsia" w:ascii="仿宋_GB2312" w:eastAsia="仿宋_GB2312"/>
          <w:sz w:val="32"/>
          <w:szCs w:val="32"/>
        </w:rPr>
        <w:t>商标行政复议申请人可以通过国家知识产权局商标网上申请服务系统提交行政复议申请书。</w:t>
      </w:r>
      <w:r>
        <w:rPr>
          <w:rFonts w:hint="eastAsia" w:ascii="Times New Roman" w:hAnsi="Times New Roman" w:eastAsia="仿宋_GB2312"/>
          <w:color w:val="000000"/>
          <w:sz w:val="32"/>
          <w:szCs w:val="32"/>
        </w:rPr>
        <w:t>商标网上申</w:t>
      </w:r>
      <w:bookmarkStart w:id="0" w:name="_GoBack"/>
      <w:bookmarkEnd w:id="0"/>
      <w:r>
        <w:rPr>
          <w:rFonts w:hint="eastAsia" w:ascii="Times New Roman" w:hAnsi="Times New Roman" w:eastAsia="仿宋_GB2312"/>
          <w:color w:val="000000"/>
          <w:sz w:val="32"/>
          <w:szCs w:val="32"/>
        </w:rPr>
        <w:t>请</w:t>
      </w:r>
      <w:r>
        <w:rPr>
          <w:rFonts w:ascii="Times New Roman" w:hAnsi="Times New Roman" w:eastAsia="仿宋_GB2312"/>
          <w:color w:val="000000"/>
          <w:sz w:val="32"/>
          <w:szCs w:val="32"/>
        </w:rPr>
        <w:t>服务</w:t>
      </w:r>
      <w:r>
        <w:rPr>
          <w:rFonts w:hint="eastAsia" w:ascii="Times New Roman" w:hAnsi="Times New Roman" w:eastAsia="仿宋_GB2312"/>
          <w:color w:val="000000"/>
          <w:sz w:val="32"/>
          <w:szCs w:val="32"/>
        </w:rPr>
        <w:t>系统网址：https://toas.sbj.cnipa.gov.cn/toas-extra-prod/login。</w:t>
      </w:r>
    </w:p>
    <w:p w14:paraId="51CACCBC">
      <w:pPr>
        <w:spacing w:line="560" w:lineRule="exact"/>
        <w:ind w:firstLine="643" w:firstLineChars="200"/>
        <w:rPr>
          <w:rFonts w:ascii="楷体_GB2312" w:eastAsia="楷体_GB2312"/>
          <w:b/>
          <w:sz w:val="32"/>
          <w:szCs w:val="32"/>
        </w:rPr>
      </w:pPr>
      <w:r>
        <w:rPr>
          <w:rFonts w:hint="eastAsia" w:ascii="楷体_GB2312" w:eastAsia="楷体_GB2312"/>
          <w:b/>
          <w:sz w:val="32"/>
          <w:szCs w:val="32"/>
        </w:rPr>
        <w:t>（一）提交复议申请通道</w:t>
      </w:r>
    </w:p>
    <w:p w14:paraId="610241C6">
      <w:pPr>
        <w:spacing w:line="560" w:lineRule="exact"/>
        <w:ind w:firstLine="640" w:firstLineChars="200"/>
        <w:rPr>
          <w:rFonts w:hint="eastAsia" w:ascii="仿宋_GB2312" w:eastAsia="仿宋_GB2312"/>
        </w:rPr>
      </w:pPr>
      <w:r>
        <w:rPr>
          <w:rFonts w:hint="eastAsia" w:ascii="仿宋_GB2312" w:eastAsia="仿宋_GB2312"/>
          <w:sz w:val="32"/>
          <w:szCs w:val="32"/>
        </w:rPr>
        <w:t>商标行政复议申请人或商标代理机构可登录国家知识产权局商标网上申请服务系统，在“商标申请业务—商标行政复议—商标行政复议申请”栏目下提起商标行政复议申请。</w:t>
      </w:r>
    </w:p>
    <w:p w14:paraId="4B123176">
      <w:r>
        <w:drawing>
          <wp:inline distT="0" distB="0" distL="114300" distR="114300">
            <wp:extent cx="6043930" cy="2927350"/>
            <wp:effectExtent l="0" t="0" r="0" b="6350"/>
            <wp:docPr id="2" name="图片 1" descr="17873851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1787385190(1)"/>
                    <pic:cNvPicPr>
                      <a:picLocks noChangeAspect="1"/>
                    </pic:cNvPicPr>
                  </pic:nvPicPr>
                  <pic:blipFill>
                    <a:blip r:embed="rId4"/>
                    <a:srcRect r="-6990" b="32513"/>
                    <a:stretch>
                      <a:fillRect/>
                    </a:stretch>
                  </pic:blipFill>
                  <pic:spPr>
                    <a:xfrm>
                      <a:off x="0" y="0"/>
                      <a:ext cx="6043930" cy="2927350"/>
                    </a:xfrm>
                    <a:prstGeom prst="rect">
                      <a:avLst/>
                    </a:prstGeom>
                    <a:noFill/>
                    <a:ln>
                      <a:noFill/>
                    </a:ln>
                  </pic:spPr>
                </pic:pic>
              </a:graphicData>
            </a:graphic>
          </wp:inline>
        </w:drawing>
      </w:r>
    </w:p>
    <w:p w14:paraId="449A5734">
      <w:pPr>
        <w:numPr>
          <w:ilvl w:val="0"/>
          <w:numId w:val="1"/>
        </w:numPr>
        <w:spacing w:line="560" w:lineRule="exact"/>
        <w:ind w:firstLine="643" w:firstLineChars="200"/>
        <w:rPr>
          <w:rFonts w:ascii="楷体_GB2312" w:eastAsia="楷体_GB2312"/>
          <w:b/>
          <w:sz w:val="32"/>
          <w:szCs w:val="32"/>
        </w:rPr>
      </w:pPr>
      <w:r>
        <w:rPr>
          <w:rFonts w:hint="eastAsia" w:ascii="楷体_GB2312" w:eastAsia="楷体_GB2312"/>
          <w:b/>
          <w:sz w:val="32"/>
          <w:szCs w:val="32"/>
        </w:rPr>
        <w:t>复议申请填报和材料上传要求</w:t>
      </w:r>
    </w:p>
    <w:p w14:paraId="4D23A504">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商标行政复议网申系统的填写页面和填写项目上提供了详细的填写要求和填写示例，申请人或商标代理机构可按照要求进行申请材料的填写及上传。所有信息填报完成后，可点击【预览】，查看申请材料信息是否有误，上传的材料是否可正常打开和查看。确认无误后，点击【提交】。</w:t>
      </w:r>
    </w:p>
    <w:p w14:paraId="25D4E733">
      <w:pPr>
        <w:spacing w:line="560" w:lineRule="exact"/>
        <w:rPr>
          <w:rFonts w:hint="eastAsia" w:ascii="仿宋_GB2312" w:eastAsia="仿宋_GB2312"/>
          <w:color w:val="000000"/>
          <w:sz w:val="32"/>
          <w:szCs w:val="32"/>
        </w:rPr>
      </w:pPr>
      <w:r>
        <w:rPr>
          <w:rFonts w:hint="eastAsia" w:ascii="仿宋_GB2312" w:eastAsia="仿宋_GB2312"/>
          <w:color w:val="FF0000"/>
          <w:sz w:val="32"/>
          <w:szCs w:val="32"/>
        </w:rPr>
        <w:t xml:space="preserve">    </w:t>
      </w:r>
      <w:r>
        <w:rPr>
          <w:rFonts w:hint="eastAsia" w:ascii="仿宋_GB2312" w:eastAsia="仿宋_GB2312"/>
          <w:color w:val="000000"/>
          <w:sz w:val="32"/>
          <w:szCs w:val="32"/>
        </w:rPr>
        <w:t>申请人对两个以上行政行为不服的，应当分别申请行政复议。申请人若委托代理人的，需在每件行政复议申请中一并上传委托人签名或盖章的代理委托书和代理人的居民身份证等有效身份证件。</w:t>
      </w:r>
    </w:p>
    <w:p w14:paraId="690FA398">
      <w:r>
        <w:drawing>
          <wp:inline distT="0" distB="0" distL="114300" distR="114300">
            <wp:extent cx="5269865" cy="2840990"/>
            <wp:effectExtent l="0" t="0" r="6985" b="16510"/>
            <wp:docPr id="3" name="图片 2" descr="096a6a54-a5d2-4a14-8313-35698a9e0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096a6a54-a5d2-4a14-8313-35698a9e0671"/>
                    <pic:cNvPicPr>
                      <a:picLocks noChangeAspect="1"/>
                    </pic:cNvPicPr>
                  </pic:nvPicPr>
                  <pic:blipFill>
                    <a:blip r:embed="rId5"/>
                    <a:stretch>
                      <a:fillRect/>
                    </a:stretch>
                  </pic:blipFill>
                  <pic:spPr>
                    <a:xfrm>
                      <a:off x="0" y="0"/>
                      <a:ext cx="5269865" cy="2840990"/>
                    </a:xfrm>
                    <a:prstGeom prst="rect">
                      <a:avLst/>
                    </a:prstGeom>
                    <a:noFill/>
                    <a:ln>
                      <a:noFill/>
                    </a:ln>
                  </pic:spPr>
                </pic:pic>
              </a:graphicData>
            </a:graphic>
          </wp:inline>
        </w:drawing>
      </w:r>
    </w:p>
    <w:p w14:paraId="2A86EFE9">
      <w:pPr>
        <w:spacing w:line="560" w:lineRule="exact"/>
        <w:ind w:firstLine="482" w:firstLineChars="150"/>
        <w:rPr>
          <w:rFonts w:ascii="楷体_GB2312" w:eastAsia="楷体_GB2312"/>
          <w:b/>
          <w:sz w:val="32"/>
          <w:szCs w:val="32"/>
        </w:rPr>
      </w:pPr>
      <w:r>
        <w:rPr>
          <w:rFonts w:hint="eastAsia" w:ascii="楷体_GB2312" w:eastAsia="楷体_GB2312"/>
          <w:b/>
          <w:sz w:val="32"/>
          <w:szCs w:val="32"/>
        </w:rPr>
        <w:t>（三）查看/下载已提交的复议申请</w:t>
      </w:r>
    </w:p>
    <w:p w14:paraId="1C48F2AE">
      <w:pPr>
        <w:spacing w:line="560"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申请人或商标代理机构可在“我的账户—申请管理—已提交”页面，输入案件相关查询条件，点击【查询】。在查询结果中，点击【查看/下载】，对已成功提交的商标行政复议案件记录进行查看或下载。</w:t>
      </w:r>
    </w:p>
    <w:p w14:paraId="5C3D9FCD">
      <w:r>
        <w:drawing>
          <wp:inline distT="0" distB="0" distL="114300" distR="114300">
            <wp:extent cx="5267960" cy="1911985"/>
            <wp:effectExtent l="0" t="0" r="8890" b="12065"/>
            <wp:docPr id="1" name="图片 3" descr="17874187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1787418716(1)"/>
                    <pic:cNvPicPr>
                      <a:picLocks noChangeAspect="1"/>
                    </pic:cNvPicPr>
                  </pic:nvPicPr>
                  <pic:blipFill>
                    <a:blip r:embed="rId6"/>
                    <a:stretch>
                      <a:fillRect/>
                    </a:stretch>
                  </pic:blipFill>
                  <pic:spPr>
                    <a:xfrm>
                      <a:off x="0" y="0"/>
                      <a:ext cx="5267960" cy="1911985"/>
                    </a:xfrm>
                    <a:prstGeom prst="rect">
                      <a:avLst/>
                    </a:prstGeom>
                    <a:noFill/>
                    <a:ln>
                      <a:noFill/>
                    </a:ln>
                  </pic:spPr>
                </pic:pic>
              </a:graphicData>
            </a:graphic>
          </wp:inline>
        </w:drawing>
      </w:r>
    </w:p>
    <w:p w14:paraId="5C7731BF">
      <w:pPr>
        <w:spacing w:line="560" w:lineRule="exact"/>
        <w:ind w:firstLine="643" w:firstLineChars="200"/>
        <w:rPr>
          <w:rFonts w:ascii="楷体_GB2312" w:hAnsi="宋体" w:eastAsia="楷体_GB2312" w:cs="宋体"/>
          <w:b/>
          <w:sz w:val="32"/>
          <w:szCs w:val="32"/>
        </w:rPr>
      </w:pPr>
      <w:r>
        <w:rPr>
          <w:rFonts w:hint="eastAsia" w:ascii="楷体_GB2312" w:hAnsi="宋体" w:eastAsia="楷体_GB2312" w:cs="宋体"/>
          <w:b/>
          <w:sz w:val="32"/>
          <w:szCs w:val="32"/>
        </w:rPr>
        <w:t>（四）提交撤回商标行政复议申请</w:t>
      </w:r>
    </w:p>
    <w:p w14:paraId="5C35D5A9">
      <w:pPr>
        <w:spacing w:line="560"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此功能仅适用于通过网上申请系统提交的商标行政复议申请。撤回复议申请，应在案件审结前提交。该撤回申请书应由申请人或有相应代理权限的商标代理机构签字或盖章。</w:t>
      </w:r>
    </w:p>
    <w:p w14:paraId="195E147A">
      <w:pPr>
        <w:spacing w:line="560"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申请人或商标代理机构可在“我的账户—申请管理—已提交”页面，输入案件相关查询条件，点击【查询】。在查询结果中，点击【撤回申请】，完成《撤回行政复议申请书》的上传。</w:t>
      </w:r>
    </w:p>
    <w:p w14:paraId="5131793D">
      <w:r>
        <w:drawing>
          <wp:inline distT="0" distB="0" distL="114300" distR="114300">
            <wp:extent cx="5272405" cy="1878330"/>
            <wp:effectExtent l="0" t="0" r="4445" b="7620"/>
            <wp:docPr id="5" name="图片 4" descr="17873864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1787386409(1)"/>
                    <pic:cNvPicPr>
                      <a:picLocks noChangeAspect="1"/>
                    </pic:cNvPicPr>
                  </pic:nvPicPr>
                  <pic:blipFill>
                    <a:blip r:embed="rId7"/>
                    <a:stretch>
                      <a:fillRect/>
                    </a:stretch>
                  </pic:blipFill>
                  <pic:spPr>
                    <a:xfrm>
                      <a:off x="0" y="0"/>
                      <a:ext cx="5272405" cy="1878330"/>
                    </a:xfrm>
                    <a:prstGeom prst="rect">
                      <a:avLst/>
                    </a:prstGeom>
                    <a:noFill/>
                    <a:ln>
                      <a:noFill/>
                    </a:ln>
                  </pic:spPr>
                </pic:pic>
              </a:graphicData>
            </a:graphic>
          </wp:inline>
        </w:drawing>
      </w:r>
    </w:p>
    <w:p w14:paraId="0A646FA2">
      <w:pPr>
        <w:spacing w:line="560" w:lineRule="exact"/>
        <w:ind w:left="420" w:leftChars="200"/>
        <w:rPr>
          <w:rFonts w:ascii="楷体_GB2312" w:eastAsia="楷体_GB2312"/>
          <w:b/>
          <w:sz w:val="32"/>
          <w:szCs w:val="32"/>
        </w:rPr>
      </w:pPr>
      <w:r>
        <w:rPr>
          <w:rFonts w:hint="eastAsia" w:ascii="楷体_GB2312" w:eastAsia="楷体_GB2312"/>
          <w:b/>
          <w:sz w:val="32"/>
          <w:szCs w:val="32"/>
        </w:rPr>
        <w:t>（五）提交补充材料</w:t>
      </w:r>
    </w:p>
    <w:p w14:paraId="73834C55">
      <w:pPr>
        <w:spacing w:line="560" w:lineRule="exact"/>
        <w:ind w:firstLine="640" w:firstLineChars="200"/>
        <w:rPr>
          <w:rFonts w:hint="eastAsia" w:ascii="仿宋_GB2312" w:eastAsia="仿宋_GB2312"/>
          <w:sz w:val="32"/>
          <w:szCs w:val="32"/>
        </w:rPr>
      </w:pPr>
      <w:r>
        <w:rPr>
          <w:rFonts w:hint="eastAsia" w:ascii="仿宋_GB2312" w:hAnsi="宋体" w:eastAsia="仿宋_GB2312" w:cs="宋体"/>
          <w:sz w:val="32"/>
          <w:szCs w:val="32"/>
        </w:rPr>
        <w:t>此功能仅适用于通过网上申请系统提交的商标行政复议申请。因复议案件审理需要，申请人请求提交补充材料，行政复议人员与申请人联系确认后，会打开网上“补充材料”通道。</w:t>
      </w:r>
    </w:p>
    <w:p w14:paraId="34D8037D">
      <w:pPr>
        <w:spacing w:line="560"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申请人或商标代理机构可在“我的账户—申请管理—已提交”页面，输入案件相关查询条件，点击【查询】。在查询结果中，点击【补充材料】，完成相关材料的上传。</w:t>
      </w:r>
    </w:p>
    <w:p w14:paraId="735A8625">
      <w:pPr>
        <w:spacing w:line="560" w:lineRule="exact"/>
        <w:ind w:firstLine="640" w:firstLineChars="200"/>
        <w:rPr>
          <w:rFonts w:hint="eastAsia" w:ascii="仿宋_GB2312" w:hAnsi="宋体" w:eastAsia="仿宋_GB2312" w:cs="宋体"/>
          <w:sz w:val="32"/>
          <w:szCs w:val="32"/>
        </w:rPr>
      </w:pPr>
    </w:p>
    <w:p w14:paraId="1C8ECFC9">
      <w:pPr>
        <w:spacing w:line="560" w:lineRule="exact"/>
        <w:ind w:firstLine="640" w:firstLineChars="200"/>
        <w:rPr>
          <w:rFonts w:hint="eastAsia" w:ascii="仿宋_GB2312" w:hAnsi="宋体" w:eastAsia="仿宋_GB2312" w:cs="宋体"/>
          <w:sz w:val="32"/>
          <w:szCs w:val="32"/>
        </w:rPr>
      </w:pPr>
    </w:p>
    <w:p w14:paraId="3847940D">
      <w:pPr>
        <w:spacing w:line="560" w:lineRule="exact"/>
        <w:ind w:firstLine="420" w:firstLineChars="200"/>
        <w:rPr>
          <w:rFonts w:hint="eastAsia" w:ascii="仿宋_GB2312" w:hAnsi="宋体" w:eastAsia="仿宋_GB2312" w:cs="宋体"/>
          <w:sz w:val="32"/>
          <w:szCs w:val="32"/>
        </w:rPr>
      </w:pPr>
      <w:r>
        <w:drawing>
          <wp:anchor distT="0" distB="0" distL="114300" distR="114300" simplePos="0" relativeHeight="251660288" behindDoc="0" locked="0" layoutInCell="1" allowOverlap="1">
            <wp:simplePos x="0" y="0"/>
            <wp:positionH relativeFrom="column">
              <wp:posOffset>76835</wp:posOffset>
            </wp:positionH>
            <wp:positionV relativeFrom="paragraph">
              <wp:posOffset>46990</wp:posOffset>
            </wp:positionV>
            <wp:extent cx="5257800" cy="1635760"/>
            <wp:effectExtent l="0" t="0" r="0" b="2540"/>
            <wp:wrapNone/>
            <wp:docPr id="6" name="图片 9" descr="4d19da6d-1f63-40eb-946b-1fb42ee9e4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9" descr="4d19da6d-1f63-40eb-946b-1fb42ee9e4ed"/>
                    <pic:cNvPicPr>
                      <a:picLocks noChangeAspect="1"/>
                    </pic:cNvPicPr>
                  </pic:nvPicPr>
                  <pic:blipFill>
                    <a:blip r:embed="rId8"/>
                    <a:stretch>
                      <a:fillRect/>
                    </a:stretch>
                  </pic:blipFill>
                  <pic:spPr>
                    <a:xfrm>
                      <a:off x="0" y="0"/>
                      <a:ext cx="5257800" cy="1635760"/>
                    </a:xfrm>
                    <a:prstGeom prst="rect">
                      <a:avLst/>
                    </a:prstGeom>
                    <a:noFill/>
                    <a:ln>
                      <a:noFill/>
                    </a:ln>
                  </pic:spPr>
                </pic:pic>
              </a:graphicData>
            </a:graphic>
          </wp:anchor>
        </w:drawing>
      </w:r>
    </w:p>
    <w:p w14:paraId="5E995CEF">
      <w:pPr>
        <w:spacing w:line="560" w:lineRule="exact"/>
        <w:ind w:firstLine="640" w:firstLineChars="200"/>
        <w:rPr>
          <w:rFonts w:ascii="宋体" w:hAnsi="宋体" w:cs="宋体"/>
          <w:sz w:val="32"/>
          <w:szCs w:val="32"/>
        </w:rPr>
      </w:pPr>
    </w:p>
    <w:p w14:paraId="4B595168">
      <w:pPr>
        <w:spacing w:line="560" w:lineRule="exact"/>
        <w:ind w:firstLine="640" w:firstLineChars="200"/>
        <w:rPr>
          <w:rFonts w:hint="eastAsia" w:ascii="黑体" w:hAnsi="黑体" w:eastAsia="黑体"/>
          <w:bCs/>
          <w:sz w:val="32"/>
          <w:szCs w:val="32"/>
        </w:rPr>
      </w:pPr>
    </w:p>
    <w:p w14:paraId="1165C2BC">
      <w:pPr>
        <w:spacing w:line="560" w:lineRule="exact"/>
        <w:ind w:firstLine="640" w:firstLineChars="200"/>
        <w:rPr>
          <w:rFonts w:hint="eastAsia" w:ascii="黑体" w:hAnsi="黑体" w:eastAsia="黑体"/>
          <w:bCs/>
          <w:sz w:val="32"/>
          <w:szCs w:val="32"/>
        </w:rPr>
      </w:pPr>
    </w:p>
    <w:p w14:paraId="25E26FC7">
      <w:pPr>
        <w:spacing w:line="560" w:lineRule="exact"/>
        <w:ind w:firstLine="640" w:firstLineChars="200"/>
        <w:rPr>
          <w:rFonts w:hint="eastAsia" w:ascii="黑体" w:hAnsi="黑体" w:eastAsia="黑体"/>
          <w:bCs/>
          <w:sz w:val="32"/>
          <w:szCs w:val="32"/>
        </w:rPr>
      </w:pPr>
    </w:p>
    <w:p w14:paraId="2F55E721">
      <w:pPr>
        <w:spacing w:line="560" w:lineRule="exact"/>
        <w:ind w:firstLine="640" w:firstLineChars="200"/>
        <w:rPr>
          <w:rFonts w:ascii="黑体" w:hAnsi="黑体" w:eastAsia="黑体"/>
          <w:bCs/>
          <w:sz w:val="32"/>
          <w:szCs w:val="32"/>
        </w:rPr>
      </w:pPr>
      <w:r>
        <w:rPr>
          <w:rFonts w:hint="eastAsia" w:ascii="黑体" w:hAnsi="黑体" w:eastAsia="黑体"/>
          <w:bCs/>
          <w:sz w:val="32"/>
          <w:szCs w:val="32"/>
        </w:rPr>
        <w:t>二、接收补正通知书和回文</w:t>
      </w:r>
    </w:p>
    <w:p w14:paraId="111D25EB">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通过网上申请系统提交的商标行政复议申请，补正通知书以数据电文方式送达；申请人或商标代理机构应通过网上申请系统提交补正回文。</w:t>
      </w:r>
    </w:p>
    <w:p w14:paraId="3279327D">
      <w:pPr>
        <w:spacing w:line="560" w:lineRule="exact"/>
        <w:ind w:firstLine="643" w:firstLineChars="200"/>
        <w:rPr>
          <w:rFonts w:ascii="楷体_GB2312" w:eastAsia="楷体_GB2312"/>
          <w:b/>
          <w:sz w:val="32"/>
          <w:szCs w:val="32"/>
        </w:rPr>
      </w:pPr>
      <w:r>
        <w:rPr>
          <w:rFonts w:hint="eastAsia" w:ascii="楷体_GB2312" w:eastAsia="楷体_GB2312"/>
          <w:b/>
          <w:sz w:val="32"/>
          <w:szCs w:val="32"/>
        </w:rPr>
        <w:t>（一）接收补正通知书</w:t>
      </w:r>
    </w:p>
    <w:p w14:paraId="07E028F2">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申请人或商标代理机构可在“电子送达—我的收文”页面，输入案件相关查询条件，点击【查询】；在查询结果中，点击【查看/下载】。</w:t>
      </w:r>
    </w:p>
    <w:p w14:paraId="3C8DE031">
      <w:r>
        <w:drawing>
          <wp:inline distT="0" distB="0" distL="114300" distR="114300">
            <wp:extent cx="5488940" cy="1236345"/>
            <wp:effectExtent l="0" t="0" r="16510" b="1905"/>
            <wp:docPr id="7" name="图片 5" descr="17874016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1787401693(1)"/>
                    <pic:cNvPicPr>
                      <a:picLocks noChangeAspect="1"/>
                    </pic:cNvPicPr>
                  </pic:nvPicPr>
                  <pic:blipFill>
                    <a:blip r:embed="rId9"/>
                    <a:stretch>
                      <a:fillRect/>
                    </a:stretch>
                  </pic:blipFill>
                  <pic:spPr>
                    <a:xfrm>
                      <a:off x="0" y="0"/>
                      <a:ext cx="5488940" cy="1236345"/>
                    </a:xfrm>
                    <a:prstGeom prst="rect">
                      <a:avLst/>
                    </a:prstGeom>
                    <a:noFill/>
                    <a:ln>
                      <a:noFill/>
                    </a:ln>
                  </pic:spPr>
                </pic:pic>
              </a:graphicData>
            </a:graphic>
          </wp:inline>
        </w:drawing>
      </w:r>
    </w:p>
    <w:p w14:paraId="4E7E23CD">
      <w:pPr>
        <w:spacing w:line="560" w:lineRule="exact"/>
        <w:ind w:firstLine="643" w:firstLineChars="200"/>
        <w:rPr>
          <w:rFonts w:ascii="楷体_GB2312" w:eastAsia="楷体_GB2312"/>
          <w:b/>
          <w:sz w:val="32"/>
          <w:szCs w:val="32"/>
        </w:rPr>
      </w:pPr>
      <w:r>
        <w:rPr>
          <w:rFonts w:hint="eastAsia" w:ascii="楷体_GB2312" w:eastAsia="楷体_GB2312"/>
          <w:b/>
          <w:sz w:val="32"/>
          <w:szCs w:val="32"/>
        </w:rPr>
        <w:t>（二）提交补正回文</w:t>
      </w:r>
    </w:p>
    <w:p w14:paraId="0F2C4CF7">
      <w:pPr>
        <w:spacing w:line="560" w:lineRule="exact"/>
        <w:ind w:firstLine="640" w:firstLineChars="200"/>
        <w:rPr>
          <w:rFonts w:hint="eastAsia" w:ascii="仿宋_GB2312" w:eastAsia="仿宋_GB2312"/>
        </w:rPr>
      </w:pPr>
      <w:r>
        <w:rPr>
          <w:rFonts w:hint="eastAsia" w:ascii="仿宋_GB2312" w:eastAsia="仿宋_GB2312"/>
          <w:sz w:val="32"/>
          <w:szCs w:val="32"/>
        </w:rPr>
        <w:t>申请人或商标代理机构可在“我的待回文”页面，输入案件相关查询条件，点击【查询】；在查询结果中，点击【回文】，按照补正通知书要求提交补正回文。若申请人或商标代理机构收到的补正通知书上显示多个商标行政复议案件编号，其可在“我的待回文”页面查询结果中，逐次勾选通知书中涉及的复议案件，点击【一并回文】。</w:t>
      </w:r>
    </w:p>
    <w:p w14:paraId="176304E4"/>
    <w:p w14:paraId="4132771D">
      <w:r>
        <w:drawing>
          <wp:inline distT="0" distB="0" distL="114300" distR="114300">
            <wp:extent cx="5274310" cy="1169035"/>
            <wp:effectExtent l="0" t="0" r="2540" b="12065"/>
            <wp:docPr id="8" name="图片 6" descr="17874092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descr="1787409263(1)"/>
                    <pic:cNvPicPr>
                      <a:picLocks noChangeAspect="1"/>
                    </pic:cNvPicPr>
                  </pic:nvPicPr>
                  <pic:blipFill>
                    <a:blip r:embed="rId10"/>
                    <a:stretch>
                      <a:fillRect/>
                    </a:stretch>
                  </pic:blipFill>
                  <pic:spPr>
                    <a:xfrm>
                      <a:off x="0" y="0"/>
                      <a:ext cx="5274310" cy="1169035"/>
                    </a:xfrm>
                    <a:prstGeom prst="rect">
                      <a:avLst/>
                    </a:prstGeom>
                    <a:noFill/>
                    <a:ln>
                      <a:noFill/>
                    </a:ln>
                  </pic:spPr>
                </pic:pic>
              </a:graphicData>
            </a:graphic>
          </wp:inline>
        </w:drawing>
      </w:r>
    </w:p>
    <w:p w14:paraId="5F81956D">
      <w:pPr>
        <w:spacing w:line="560" w:lineRule="exact"/>
        <w:ind w:firstLine="472" w:firstLineChars="147"/>
        <w:rPr>
          <w:rFonts w:ascii="楷体_GB2312" w:eastAsia="楷体_GB2312"/>
          <w:b/>
          <w:sz w:val="32"/>
          <w:szCs w:val="32"/>
        </w:rPr>
      </w:pPr>
      <w:r>
        <w:rPr>
          <w:rFonts w:hint="eastAsia" w:ascii="楷体_GB2312" w:eastAsia="楷体_GB2312"/>
          <w:b/>
          <w:sz w:val="32"/>
          <w:szCs w:val="32"/>
        </w:rPr>
        <w:t>（三）查看回文信息</w:t>
      </w:r>
    </w:p>
    <w:p w14:paraId="4DB8B539">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申请人或商标代理机构通过网上申请系统已经提交的所有回文信息，包括补正回文等，均可在“我的回文管理”页面进行查看。</w:t>
      </w:r>
    </w:p>
    <w:p w14:paraId="7147B6B4">
      <w:r>
        <w:drawing>
          <wp:inline distT="0" distB="0" distL="114300" distR="114300">
            <wp:extent cx="5264150" cy="1581150"/>
            <wp:effectExtent l="0" t="0" r="12700" b="0"/>
            <wp:docPr id="9" name="图片 7" descr="17874073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descr="1787407338(1)"/>
                    <pic:cNvPicPr>
                      <a:picLocks noChangeAspect="1"/>
                    </pic:cNvPicPr>
                  </pic:nvPicPr>
                  <pic:blipFill>
                    <a:blip r:embed="rId11"/>
                    <a:stretch>
                      <a:fillRect/>
                    </a:stretch>
                  </pic:blipFill>
                  <pic:spPr>
                    <a:xfrm>
                      <a:off x="0" y="0"/>
                      <a:ext cx="5264150" cy="1581150"/>
                    </a:xfrm>
                    <a:prstGeom prst="rect">
                      <a:avLst/>
                    </a:prstGeom>
                    <a:noFill/>
                    <a:ln>
                      <a:noFill/>
                    </a:ln>
                  </pic:spPr>
                </pic:pic>
              </a:graphicData>
            </a:graphic>
          </wp:inline>
        </w:drawing>
      </w:r>
    </w:p>
    <w:p w14:paraId="18486D81"/>
    <w:p w14:paraId="61797073">
      <w:pPr>
        <w:spacing w:line="560" w:lineRule="exact"/>
        <w:ind w:firstLine="640" w:firstLineChars="200"/>
        <w:rPr>
          <w:rFonts w:ascii="黑体" w:hAnsi="黑体" w:eastAsia="黑体"/>
          <w:bCs/>
          <w:sz w:val="32"/>
          <w:szCs w:val="32"/>
        </w:rPr>
      </w:pPr>
      <w:r>
        <w:rPr>
          <w:rFonts w:hint="eastAsia" w:ascii="黑体" w:hAnsi="黑体" w:eastAsia="黑体"/>
          <w:bCs/>
          <w:sz w:val="32"/>
          <w:szCs w:val="32"/>
        </w:rPr>
        <w:t>三、行政复议第三人网上答复</w:t>
      </w:r>
    </w:p>
    <w:p w14:paraId="1F9F9BAE">
      <w:pPr>
        <w:spacing w:line="560" w:lineRule="exact"/>
        <w:ind w:firstLine="640" w:firstLineChars="200"/>
        <w:rPr>
          <w:rFonts w:hint="eastAsia" w:ascii="仿宋_GB2312" w:eastAsia="仿宋_GB2312"/>
          <w:sz w:val="32"/>
          <w:szCs w:val="32"/>
        </w:rPr>
      </w:pPr>
      <w:r>
        <w:rPr>
          <w:rFonts w:hint="eastAsia" w:ascii="仿宋_GB2312" w:hAnsi="宋体" w:eastAsia="仿宋_GB2312" w:cs="宋体"/>
          <w:color w:val="000000"/>
          <w:sz w:val="32"/>
          <w:szCs w:val="32"/>
        </w:rPr>
        <w:t>此功能仅适用于通过网上申请系统提交的商标行政复议申请。</w:t>
      </w:r>
      <w:r>
        <w:rPr>
          <w:rFonts w:hint="eastAsia" w:ascii="仿宋_GB2312" w:eastAsia="仿宋_GB2312"/>
          <w:sz w:val="32"/>
          <w:szCs w:val="32"/>
        </w:rPr>
        <w:t>通过网上申请系统提交的商标行政复议申请，第三人在收到国家知识产权局邮寄的《第三人参加行政复议通知书》后，可通过纸质方式答复，也可通过网上申请系统答复。</w:t>
      </w:r>
    </w:p>
    <w:p w14:paraId="0326BF69">
      <w:pPr>
        <w:spacing w:line="560" w:lineRule="exact"/>
        <w:ind w:firstLine="643" w:firstLineChars="200"/>
        <w:rPr>
          <w:rFonts w:ascii="楷体_GB2312" w:eastAsia="楷体_GB2312"/>
          <w:b/>
          <w:sz w:val="32"/>
          <w:szCs w:val="32"/>
        </w:rPr>
      </w:pPr>
      <w:r>
        <w:rPr>
          <w:rFonts w:hint="eastAsia" w:ascii="楷体_GB2312" w:eastAsia="楷体_GB2312"/>
          <w:b/>
          <w:sz w:val="32"/>
          <w:szCs w:val="32"/>
        </w:rPr>
        <w:t>（一）第三人答复绑定</w:t>
      </w:r>
    </w:p>
    <w:p w14:paraId="13525C7F">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第三人或商标代理机构选择通过网上申请系统提交答复的，应首先在“第三人答复绑定”页面，输入通知书附件中载明的“第三人名称”和“绑定码”，点击【查询】和【绑定】，完成答复绑定。</w:t>
      </w:r>
    </w:p>
    <w:p w14:paraId="7699E968">
      <w:r>
        <w:drawing>
          <wp:inline distT="0" distB="0" distL="114300" distR="114300">
            <wp:extent cx="5267960" cy="784860"/>
            <wp:effectExtent l="0" t="0" r="8890" b="15240"/>
            <wp:docPr id="10" name="图片 8" descr="17874076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descr="1787407626(1)"/>
                    <pic:cNvPicPr>
                      <a:picLocks noChangeAspect="1"/>
                    </pic:cNvPicPr>
                  </pic:nvPicPr>
                  <pic:blipFill>
                    <a:blip r:embed="rId12"/>
                    <a:stretch>
                      <a:fillRect/>
                    </a:stretch>
                  </pic:blipFill>
                  <pic:spPr>
                    <a:xfrm>
                      <a:off x="0" y="0"/>
                      <a:ext cx="5267960" cy="784860"/>
                    </a:xfrm>
                    <a:prstGeom prst="rect">
                      <a:avLst/>
                    </a:prstGeom>
                    <a:noFill/>
                    <a:ln>
                      <a:noFill/>
                    </a:ln>
                  </pic:spPr>
                </pic:pic>
              </a:graphicData>
            </a:graphic>
          </wp:inline>
        </w:drawing>
      </w:r>
    </w:p>
    <w:p w14:paraId="09AFBCE6">
      <w:pPr>
        <w:spacing w:line="560" w:lineRule="exact"/>
        <w:ind w:firstLine="643" w:firstLineChars="200"/>
        <w:rPr>
          <w:rFonts w:ascii="楷体_GB2312" w:eastAsia="楷体_GB2312"/>
          <w:b/>
          <w:sz w:val="32"/>
          <w:szCs w:val="32"/>
        </w:rPr>
      </w:pPr>
      <w:r>
        <w:rPr>
          <w:rFonts w:hint="eastAsia" w:ascii="楷体_GB2312" w:eastAsia="楷体_GB2312"/>
          <w:b/>
          <w:sz w:val="32"/>
          <w:szCs w:val="32"/>
        </w:rPr>
        <w:t>（二）提交第三人答复</w:t>
      </w:r>
    </w:p>
    <w:p w14:paraId="5855487B">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第三人或商标代理机构完成答复绑定后，可在“我的答复”页面，输入案件相关查询条件，点击【查询】；在查询结果中，点击【答复】进入数据填写页面，第三人或代理机构自行完成信息填写和材料上传，可参照《商标行政复议申请填写要求》。</w:t>
      </w:r>
    </w:p>
    <w:p w14:paraId="719B3B0E">
      <w:r>
        <w:drawing>
          <wp:inline distT="0" distB="0" distL="114300" distR="114300">
            <wp:extent cx="5274945" cy="801370"/>
            <wp:effectExtent l="0" t="0" r="1905" b="17780"/>
            <wp:docPr id="11" name="图片 9" descr="17873872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descr="1787387244(1)"/>
                    <pic:cNvPicPr>
                      <a:picLocks noChangeAspect="1"/>
                    </pic:cNvPicPr>
                  </pic:nvPicPr>
                  <pic:blipFill>
                    <a:blip r:embed="rId13"/>
                    <a:stretch>
                      <a:fillRect/>
                    </a:stretch>
                  </pic:blipFill>
                  <pic:spPr>
                    <a:xfrm>
                      <a:off x="0" y="0"/>
                      <a:ext cx="5274945" cy="801370"/>
                    </a:xfrm>
                    <a:prstGeom prst="rect">
                      <a:avLst/>
                    </a:prstGeom>
                    <a:noFill/>
                    <a:ln>
                      <a:noFill/>
                    </a:ln>
                  </pic:spPr>
                </pic:pic>
              </a:graphicData>
            </a:graphic>
          </wp:inline>
        </w:drawing>
      </w:r>
    </w:p>
    <w:p w14:paraId="47E6D033">
      <w:r>
        <w:drawing>
          <wp:inline distT="0" distB="0" distL="114300" distR="114300">
            <wp:extent cx="5271135" cy="2418715"/>
            <wp:effectExtent l="0" t="0" r="5715" b="635"/>
            <wp:docPr id="12" name="图片 10" descr="17873878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 descr="1787387813(1)"/>
                    <pic:cNvPicPr>
                      <a:picLocks noChangeAspect="1"/>
                    </pic:cNvPicPr>
                  </pic:nvPicPr>
                  <pic:blipFill>
                    <a:blip r:embed="rId14"/>
                    <a:stretch>
                      <a:fillRect/>
                    </a:stretch>
                  </pic:blipFill>
                  <pic:spPr>
                    <a:xfrm>
                      <a:off x="0" y="0"/>
                      <a:ext cx="5271135" cy="2418715"/>
                    </a:xfrm>
                    <a:prstGeom prst="rect">
                      <a:avLst/>
                    </a:prstGeom>
                    <a:noFill/>
                    <a:ln>
                      <a:noFill/>
                    </a:ln>
                  </pic:spPr>
                </pic:pic>
              </a:graphicData>
            </a:graphic>
          </wp:inline>
        </w:drawing>
      </w:r>
    </w:p>
    <w:p w14:paraId="3711E701">
      <w:pPr>
        <w:spacing w:line="560" w:lineRule="exact"/>
        <w:ind w:firstLine="640" w:firstLineChars="200"/>
        <w:rPr>
          <w:rFonts w:ascii="黑体" w:hAnsi="黑体" w:eastAsia="黑体"/>
          <w:sz w:val="32"/>
          <w:szCs w:val="32"/>
        </w:rPr>
      </w:pPr>
      <w:r>
        <w:rPr>
          <w:rFonts w:hint="eastAsia" w:ascii="黑体" w:hAnsi="黑体" w:eastAsia="黑体"/>
          <w:sz w:val="32"/>
          <w:szCs w:val="32"/>
        </w:rPr>
        <w:t>四、网上提交补充证据材料</w:t>
      </w:r>
    </w:p>
    <w:p w14:paraId="07F09C1C">
      <w:pPr>
        <w:spacing w:line="560" w:lineRule="exact"/>
        <w:ind w:firstLine="640" w:firstLineChars="200"/>
        <w:rPr>
          <w:rFonts w:hint="eastAsia" w:ascii="仿宋_GB2312" w:eastAsia="仿宋_GB2312"/>
          <w:sz w:val="32"/>
          <w:szCs w:val="32"/>
        </w:rPr>
      </w:pPr>
      <w:r>
        <w:rPr>
          <w:rFonts w:hint="eastAsia" w:ascii="仿宋_GB2312" w:hAnsi="宋体" w:eastAsia="仿宋_GB2312" w:cs="宋体"/>
          <w:color w:val="000000"/>
          <w:sz w:val="32"/>
          <w:szCs w:val="32"/>
        </w:rPr>
        <w:t>此功能仅适用于通过网上申请系统提交的商标行政复议申请。</w:t>
      </w:r>
      <w:r>
        <w:rPr>
          <w:rFonts w:hint="eastAsia" w:ascii="仿宋_GB2312" w:eastAsia="仿宋_GB2312"/>
          <w:sz w:val="32"/>
          <w:szCs w:val="32"/>
        </w:rPr>
        <w:t>通过网上申请系统提交的商标行政复议申请，申请人在收到国家知识产权局邮寄的《行政复议补充证据通知书》后，可通过纸质方式提交补充证据，也可通过网上申请系统提交补充证据。</w:t>
      </w:r>
    </w:p>
    <w:p w14:paraId="71799047">
      <w:pPr>
        <w:spacing w:line="560" w:lineRule="exact"/>
        <w:ind w:firstLine="643" w:firstLineChars="200"/>
        <w:rPr>
          <w:rFonts w:ascii="楷体_GB2312" w:eastAsia="楷体_GB2312"/>
          <w:b/>
          <w:sz w:val="32"/>
          <w:szCs w:val="32"/>
        </w:rPr>
      </w:pPr>
      <w:r>
        <w:rPr>
          <w:rFonts w:hint="eastAsia" w:ascii="楷体_GB2312" w:eastAsia="楷体_GB2312"/>
          <w:b/>
          <w:sz w:val="32"/>
          <w:szCs w:val="32"/>
        </w:rPr>
        <w:t>（一）补充证据回文绑定</w:t>
      </w:r>
    </w:p>
    <w:p w14:paraId="1C6518E7">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申请人或商标代理机构选择通过网上申请系统提交补充证据回文的，应首先在“补充证据回文绑定”页面，输入通知书附件中载明的“绑定码”，点击【查询】和【绑定】，完成回文绑定。</w:t>
      </w:r>
    </w:p>
    <w:p w14:paraId="16C4AD0A">
      <w:r>
        <w:drawing>
          <wp:inline distT="0" distB="0" distL="114300" distR="114300">
            <wp:extent cx="5264785" cy="939800"/>
            <wp:effectExtent l="0" t="0" r="12065" b="12700"/>
            <wp:docPr id="13" name="图片 11" descr="17873874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1" descr="1787387461(1)"/>
                    <pic:cNvPicPr>
                      <a:picLocks noChangeAspect="1"/>
                    </pic:cNvPicPr>
                  </pic:nvPicPr>
                  <pic:blipFill>
                    <a:blip r:embed="rId15"/>
                    <a:stretch>
                      <a:fillRect/>
                    </a:stretch>
                  </pic:blipFill>
                  <pic:spPr>
                    <a:xfrm>
                      <a:off x="0" y="0"/>
                      <a:ext cx="5264785" cy="939800"/>
                    </a:xfrm>
                    <a:prstGeom prst="rect">
                      <a:avLst/>
                    </a:prstGeom>
                    <a:noFill/>
                    <a:ln>
                      <a:noFill/>
                    </a:ln>
                  </pic:spPr>
                </pic:pic>
              </a:graphicData>
            </a:graphic>
          </wp:inline>
        </w:drawing>
      </w:r>
    </w:p>
    <w:p w14:paraId="5035402C">
      <w:pPr>
        <w:spacing w:line="560" w:lineRule="exact"/>
        <w:ind w:firstLine="643" w:firstLineChars="200"/>
        <w:rPr>
          <w:rFonts w:ascii="楷体_GB2312" w:eastAsia="楷体_GB2312"/>
          <w:b/>
          <w:sz w:val="32"/>
          <w:szCs w:val="32"/>
        </w:rPr>
      </w:pPr>
      <w:r>
        <w:rPr>
          <w:rFonts w:hint="eastAsia" w:ascii="楷体_GB2312" w:eastAsia="楷体_GB2312"/>
          <w:b/>
          <w:sz w:val="32"/>
          <w:szCs w:val="32"/>
        </w:rPr>
        <w:t>（二）提交补充证据回文</w:t>
      </w:r>
    </w:p>
    <w:p w14:paraId="73A842E8">
      <w:pPr>
        <w:spacing w:line="560" w:lineRule="exact"/>
        <w:ind w:firstLine="640" w:firstLineChars="200"/>
        <w:rPr>
          <w:rFonts w:hint="eastAsia" w:ascii="仿宋_GB2312" w:eastAsia="仿宋_GB2312"/>
        </w:rPr>
      </w:pPr>
      <w:r>
        <w:rPr>
          <w:rFonts w:hint="eastAsia" w:ascii="仿宋_GB2312" w:eastAsia="仿宋_GB2312"/>
          <w:sz w:val="32"/>
          <w:szCs w:val="32"/>
        </w:rPr>
        <w:t>申请人或商标代理机构应通过网上申请系统在“我的待回文”页面，输入案件相关查询条件，点击【查询】；在查询结果中，点击【回文】提交补充证据材料。</w:t>
      </w:r>
    </w:p>
    <w:p w14:paraId="4C2B0B5C">
      <w:r>
        <w:drawing>
          <wp:inline distT="0" distB="0" distL="114300" distR="114300">
            <wp:extent cx="5264785" cy="1689100"/>
            <wp:effectExtent l="0" t="0" r="12065" b="6350"/>
            <wp:docPr id="14" name="图片 12" descr="17873875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2" descr="1787387540(1)"/>
                    <pic:cNvPicPr>
                      <a:picLocks noChangeAspect="1"/>
                    </pic:cNvPicPr>
                  </pic:nvPicPr>
                  <pic:blipFill>
                    <a:blip r:embed="rId16"/>
                    <a:stretch>
                      <a:fillRect/>
                    </a:stretch>
                  </pic:blipFill>
                  <pic:spPr>
                    <a:xfrm>
                      <a:off x="0" y="0"/>
                      <a:ext cx="5264785" cy="1689100"/>
                    </a:xfrm>
                    <a:prstGeom prst="rect">
                      <a:avLst/>
                    </a:prstGeom>
                    <a:noFill/>
                    <a:ln>
                      <a:noFill/>
                    </a:ln>
                  </pic:spPr>
                </pic:pic>
              </a:graphicData>
            </a:graphic>
          </wp:inline>
        </w:drawing>
      </w:r>
    </w:p>
    <w:p w14:paraId="2250E1F6">
      <w:pPr>
        <w:spacing w:line="560" w:lineRule="exact"/>
        <w:ind w:firstLine="640" w:firstLineChars="200"/>
        <w:rPr>
          <w:rFonts w:hint="eastAsia" w:ascii="黑体" w:hAnsi="黑体" w:eastAsia="黑体"/>
          <w:bCs/>
          <w:sz w:val="32"/>
          <w:szCs w:val="32"/>
        </w:rPr>
      </w:pPr>
      <w:r>
        <w:rPr>
          <w:rFonts w:hint="eastAsia" w:ascii="黑体" w:hAnsi="黑体" w:eastAsia="黑体"/>
          <w:bCs/>
          <w:sz w:val="32"/>
          <w:szCs w:val="32"/>
        </w:rPr>
        <w:t>五、接收商标行政复议法律文书</w:t>
      </w:r>
    </w:p>
    <w:p w14:paraId="724C3B65">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通过网上申请系统提交商标行政复议申请和行政复议第三人答复的，商标行政复议法律文书如延期审理通知书、行政复议决定书等均通过数据电文形式送达当事人或商标代理机构。</w:t>
      </w:r>
    </w:p>
    <w:p w14:paraId="2C492F4A">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当事人或商标代理机构可在“电子送达—我的收文”页面，输入案件相关查询条件，点击【查询】；在查询结果中，点击【查看/下载】。</w:t>
      </w:r>
    </w:p>
    <w:p w14:paraId="398FF9BD">
      <w:pPr>
        <w:spacing w:line="560" w:lineRule="exact"/>
        <w:ind w:firstLine="640" w:firstLineChars="200"/>
        <w:rPr>
          <w:rFonts w:hint="eastAsia" w:ascii="仿宋_GB2312" w:eastAsia="仿宋_GB2312"/>
          <w:sz w:val="32"/>
          <w:szCs w:val="32"/>
        </w:rPr>
      </w:pPr>
    </w:p>
    <w:p w14:paraId="3E44815A">
      <w:pPr>
        <w:spacing w:line="560" w:lineRule="exact"/>
        <w:ind w:firstLine="640" w:firstLineChars="200"/>
        <w:rPr>
          <w:rFonts w:hint="eastAsia" w:ascii="仿宋_GB2312" w:eastAsia="仿宋_GB2312"/>
          <w:sz w:val="32"/>
          <w:szCs w:val="32"/>
        </w:rPr>
      </w:pPr>
    </w:p>
    <w:p w14:paraId="0C111C27">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drawing>
          <wp:anchor distT="0" distB="0" distL="114300" distR="114300" simplePos="0" relativeHeight="251659264" behindDoc="1" locked="0" layoutInCell="1" allowOverlap="1">
            <wp:simplePos x="0" y="0"/>
            <wp:positionH relativeFrom="column">
              <wp:posOffset>33020</wp:posOffset>
            </wp:positionH>
            <wp:positionV relativeFrom="paragraph">
              <wp:posOffset>74295</wp:posOffset>
            </wp:positionV>
            <wp:extent cx="5262880" cy="2312670"/>
            <wp:effectExtent l="0" t="0" r="13970" b="11430"/>
            <wp:wrapNone/>
            <wp:docPr id="4" name="图片 19" descr="97223108-1752-49ee-a9d8-9490e9920a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9" descr="97223108-1752-49ee-a9d8-9490e9920a1e"/>
                    <pic:cNvPicPr>
                      <a:picLocks noChangeAspect="1"/>
                    </pic:cNvPicPr>
                  </pic:nvPicPr>
                  <pic:blipFill>
                    <a:blip r:embed="rId17"/>
                    <a:stretch>
                      <a:fillRect/>
                    </a:stretch>
                  </pic:blipFill>
                  <pic:spPr>
                    <a:xfrm>
                      <a:off x="0" y="0"/>
                      <a:ext cx="5262880" cy="2312670"/>
                    </a:xfrm>
                    <a:prstGeom prst="rect">
                      <a:avLst/>
                    </a:prstGeom>
                    <a:noFill/>
                    <a:ln>
                      <a:noFill/>
                    </a:ln>
                  </pic:spPr>
                </pic:pic>
              </a:graphicData>
            </a:graphic>
          </wp:anchor>
        </w:drawing>
      </w:r>
    </w:p>
    <w:p w14:paraId="4B4FC9A8">
      <w:pPr>
        <w:spacing w:line="560" w:lineRule="exact"/>
        <w:rPr>
          <w:rFonts w:hint="eastAsia" w:ascii="仿宋_GB2312" w:hAnsi="Times New Roman" w:eastAsia="仿宋_GB2312"/>
          <w:color w:val="000000"/>
          <w:sz w:val="32"/>
          <w:szCs w:val="32"/>
        </w:rPr>
      </w:pPr>
    </w:p>
    <w:p w14:paraId="38C9443E">
      <w:pPr>
        <w:spacing w:line="560" w:lineRule="exact"/>
        <w:rPr>
          <w:rFonts w:hint="eastAsia" w:ascii="仿宋_GB2312" w:hAnsi="Times New Roman" w:eastAsia="仿宋_GB2312"/>
          <w:color w:val="000000"/>
          <w:sz w:val="32"/>
          <w:szCs w:val="32"/>
        </w:rPr>
      </w:pPr>
    </w:p>
    <w:p w14:paraId="001CC385">
      <w:pPr>
        <w:spacing w:line="560" w:lineRule="exact"/>
        <w:rPr>
          <w:rFonts w:hint="eastAsia" w:ascii="仿宋_GB2312" w:hAnsi="Times New Roman" w:eastAsia="仿宋_GB2312"/>
          <w:color w:val="000000"/>
          <w:sz w:val="32"/>
          <w:szCs w:val="32"/>
        </w:rPr>
      </w:pPr>
    </w:p>
    <w:p w14:paraId="4B8D1BFC">
      <w:pPr>
        <w:spacing w:line="560" w:lineRule="exact"/>
        <w:rPr>
          <w:rFonts w:hint="eastAsia" w:ascii="仿宋_GB2312" w:hAnsi="Times New Roman" w:eastAsia="仿宋_GB2312"/>
          <w:color w:val="000000"/>
          <w:sz w:val="32"/>
          <w:szCs w:val="32"/>
        </w:rPr>
      </w:pPr>
    </w:p>
    <w:p w14:paraId="596DAC1C">
      <w:pPr>
        <w:spacing w:line="560" w:lineRule="exact"/>
        <w:rPr>
          <w:rFonts w:hint="eastAsia" w:ascii="仿宋_GB2312" w:hAnsi="Times New Roman" w:eastAsia="仿宋_GB2312"/>
          <w:color w:val="000000"/>
          <w:sz w:val="32"/>
          <w:szCs w:val="32"/>
        </w:rPr>
      </w:pPr>
    </w:p>
    <w:p w14:paraId="70A3396A">
      <w:pPr>
        <w:spacing w:line="560" w:lineRule="exact"/>
        <w:rPr>
          <w:rFonts w:hint="eastAsia" w:ascii="仿宋_GB2312" w:hAnsi="Times New Roman" w:eastAsia="仿宋_GB2312"/>
          <w:color w:val="000000"/>
          <w:sz w:val="32"/>
          <w:szCs w:val="32"/>
        </w:rPr>
      </w:pPr>
    </w:p>
    <w:p w14:paraId="41F1E10D">
      <w:pPr>
        <w:spacing w:line="560" w:lineRule="exact"/>
        <w:rPr>
          <w:rFonts w:hint="eastAsia" w:ascii="仿宋_GB2312" w:hAnsi="Times New Roman" w:eastAsia="仿宋_GB2312"/>
          <w:color w:val="000000"/>
          <w:sz w:val="32"/>
          <w:szCs w:val="32"/>
        </w:rPr>
      </w:pPr>
    </w:p>
    <w:p w14:paraId="696E41F0">
      <w:pPr>
        <w:spacing w:line="56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注：本使用说明仅供参考，不具有法律效力。</w:t>
      </w:r>
    </w:p>
    <w:p w14:paraId="5B34D9D9">
      <w:pPr>
        <w:spacing w:line="560" w:lineRule="exact"/>
        <w:rPr>
          <w:rFonts w:hint="eastAsia" w:ascii="仿宋_GB2312" w:hAnsi="Times New Roman" w:eastAsia="仿宋_GB2312"/>
          <w:color w:val="000000"/>
          <w:sz w:val="32"/>
          <w:szCs w:val="32"/>
        </w:rPr>
      </w:pPr>
    </w:p>
    <w:p w14:paraId="03B83E23">
      <w:pPr>
        <w:spacing w:line="560" w:lineRule="exact"/>
        <w:rPr>
          <w:rFonts w:hint="eastAsia" w:ascii="仿宋_GB2312" w:hAnsi="Times New Roman" w:eastAsia="仿宋_GB2312"/>
          <w:color w:val="000000"/>
          <w:sz w:val="32"/>
          <w:szCs w:val="32"/>
        </w:rPr>
      </w:pPr>
    </w:p>
    <w:p w14:paraId="729AE7F9">
      <w:pPr>
        <w:spacing w:line="560" w:lineRule="exact"/>
        <w:rPr>
          <w:rFonts w:hint="eastAsia" w:ascii="仿宋_GB2312" w:hAnsi="Times New Roman" w:eastAsia="仿宋_GB2312"/>
          <w:color w:val="000000"/>
          <w:sz w:val="32"/>
          <w:szCs w:val="32"/>
        </w:rPr>
      </w:pPr>
    </w:p>
    <w:p w14:paraId="35EF4E83">
      <w:pPr>
        <w:spacing w:line="560" w:lineRule="exact"/>
        <w:rPr>
          <w:rFonts w:hint="eastAsia" w:ascii="仿宋_GB2312" w:hAnsi="Times New Roman" w:eastAsia="仿宋_GB2312"/>
          <w:color w:val="000000"/>
          <w:sz w:val="32"/>
          <w:szCs w:val="32"/>
        </w:rPr>
      </w:pPr>
    </w:p>
    <w:p w14:paraId="708B8CC5">
      <w:pPr>
        <w:spacing w:line="560" w:lineRule="exact"/>
        <w:rPr>
          <w:rFonts w:hint="eastAsia" w:ascii="仿宋_GB2312" w:hAnsi="Times New Roman" w:eastAsia="仿宋_GB2312"/>
          <w:color w:val="000000"/>
          <w:sz w:val="32"/>
          <w:szCs w:val="32"/>
        </w:rPr>
      </w:pPr>
    </w:p>
    <w:p w14:paraId="4A808F98">
      <w:pPr>
        <w:spacing w:line="560" w:lineRule="exact"/>
        <w:rPr>
          <w:rFonts w:hint="eastAsia" w:ascii="仿宋_GB2312" w:hAnsi="Times New Roman" w:eastAsia="仿宋_GB2312"/>
          <w:color w:val="000000"/>
          <w:sz w:val="32"/>
          <w:szCs w:val="32"/>
        </w:rPr>
      </w:pPr>
    </w:p>
    <w:p w14:paraId="7961F7A0">
      <w:pPr>
        <w:spacing w:line="560" w:lineRule="exact"/>
        <w:rPr>
          <w:rFonts w:hint="eastAsia" w:ascii="仿宋_GB2312" w:hAnsi="Times New Roman" w:eastAsia="仿宋_GB2312"/>
          <w:color w:val="000000"/>
          <w:sz w:val="32"/>
          <w:szCs w:val="32"/>
        </w:rPr>
      </w:pPr>
    </w:p>
    <w:p w14:paraId="7EDEB41D">
      <w:pPr>
        <w:spacing w:line="560" w:lineRule="exact"/>
        <w:rPr>
          <w:rFonts w:hint="eastAsia" w:ascii="仿宋_GB2312" w:hAnsi="Times New Roman" w:eastAsia="仿宋_GB2312"/>
          <w:color w:val="000000"/>
          <w:sz w:val="32"/>
          <w:szCs w:val="32"/>
        </w:rPr>
      </w:pPr>
    </w:p>
    <w:p w14:paraId="36347D21">
      <w:pPr>
        <w:spacing w:line="560" w:lineRule="exact"/>
        <w:rPr>
          <w:rFonts w:hint="eastAsia" w:ascii="仿宋_GB2312" w:hAnsi="Times New Roman" w:eastAsia="仿宋_GB2312"/>
          <w:color w:val="000000"/>
          <w:sz w:val="32"/>
          <w:szCs w:val="32"/>
        </w:rPr>
      </w:pPr>
    </w:p>
    <w:p w14:paraId="1727BAEA">
      <w:pPr>
        <w:spacing w:line="560" w:lineRule="exact"/>
        <w:rPr>
          <w:rFonts w:hint="eastAsia" w:ascii="仿宋_GB2312" w:hAnsi="Times New Roman" w:eastAsia="仿宋_GB2312"/>
          <w:color w:val="000000"/>
          <w:sz w:val="32"/>
          <w:szCs w:val="32"/>
        </w:rPr>
      </w:pPr>
    </w:p>
    <w:p w14:paraId="01356E05">
      <w:pPr>
        <w:spacing w:line="560" w:lineRule="exact"/>
        <w:rPr>
          <w:rFonts w:hint="eastAsia" w:ascii="仿宋_GB2312" w:hAnsi="Times New Roman" w:eastAsia="仿宋_GB2312"/>
          <w:color w:val="000000"/>
          <w:sz w:val="32"/>
          <w:szCs w:val="32"/>
        </w:rPr>
      </w:pPr>
    </w:p>
    <w:p w14:paraId="724FC6E7">
      <w:pPr>
        <w:spacing w:line="560" w:lineRule="exact"/>
        <w:rPr>
          <w:rFonts w:ascii="仿宋_GB2312" w:hAnsi="Times New Roman" w:eastAsia="仿宋_GB2312"/>
          <w:color w:val="000000"/>
          <w:sz w:val="32"/>
          <w:szCs w:val="32"/>
        </w:rPr>
      </w:pPr>
    </w:p>
    <w:p w14:paraId="2A458829"/>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8AED0A"/>
    <w:multiLevelType w:val="singleLevel"/>
    <w:tmpl w:val="4C8AED0A"/>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60699B"/>
    <w:rsid w:val="1960699B"/>
    <w:rsid w:val="4298064E"/>
    <w:rsid w:val="440677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2002</Words>
  <Characters>2035</Characters>
  <Lines>0</Lines>
  <Paragraphs>0</Paragraphs>
  <TotalTime>1</TotalTime>
  <ScaleCrop>false</ScaleCrop>
  <LinksUpToDate>false</LinksUpToDate>
  <CharactersWithSpaces>2039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2026-09-04T02:07:00Z</dcterms:created>
  <dc:creator>好奇害死猫</dc:creator>
  <cp:lastModifiedBy>好奇害死猫</cp:lastModifiedBy>
  <dcterms:modified xsi:type="dcterms:W3CDTF">2026-09-09T02:35:59Z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126A327157FC4699AD27CE1EAA627179_11</vt:lpwstr>
  </property>
  <property fmtid="{D5CDD505-2E9C-101B-9397-08002B2CF9AE}" pid="4" name="KSOTemplateDocerSaveRecord">
    <vt:lpwstr>eyJoZGlkIjoiOWQ2OTEwMDFjZjIzZDVjZjBlMGEwZmEyMjgyOGU1NTAiLCJ1c2VySWQiOiI2MzI3MzIzNzMifQ==</vt:lpwstr>
  </property>
</Properties>
</file>